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80" w:lineRule="exact"/>
        <w:rPr>
          <w:b/>
          <w:sz w:val="29"/>
          <w:szCs w:val="29"/>
        </w:rPr>
      </w:pPr>
      <w:r>
        <w:rPr>
          <w:b/>
          <w:sz w:val="29"/>
          <w:szCs w:val="29"/>
        </w:rPr>
        <w:t xml:space="preserve">К сведению граждан!</w:t>
      </w:r>
      <w:r>
        <w:rPr>
          <w:b/>
          <w:sz w:val="29"/>
          <w:szCs w:val="29"/>
        </w:rPr>
      </w:r>
    </w:p>
    <w:p>
      <w:pPr>
        <w:pStyle w:val="688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</w:r>
      <w:r>
        <w:rPr>
          <w:rFonts w:ascii="Times New Roman" w:hAnsi="Times New Roman" w:cs="Times New Roman"/>
          <w:sz w:val="29"/>
          <w:szCs w:val="29"/>
        </w:rPr>
      </w:r>
    </w:p>
    <w:p>
      <w:pPr>
        <w:pStyle w:val="688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ab/>
        <w:t xml:space="preserve">С </w:t>
      </w:r>
      <w:r>
        <w:rPr>
          <w:rFonts w:ascii="Times New Roman" w:hAnsi="Times New Roman" w:cs="Times New Roman"/>
          <w:b/>
          <w:sz w:val="29"/>
          <w:szCs w:val="29"/>
        </w:rPr>
        <w:t xml:space="preserve">1 января 2025</w:t>
      </w:r>
      <w:r>
        <w:rPr>
          <w:rFonts w:ascii="Times New Roman" w:hAnsi="Times New Roman" w:cs="Times New Roman"/>
          <w:sz w:val="29"/>
          <w:szCs w:val="29"/>
        </w:rPr>
        <w:t xml:space="preserve"> на едином портале электронных услуг (</w:t>
      </w:r>
      <w:r>
        <w:rPr>
          <w:rFonts w:ascii="Times New Roman" w:hAnsi="Times New Roman" w:cs="Times New Roman"/>
          <w:b/>
          <w:sz w:val="29"/>
          <w:szCs w:val="29"/>
        </w:rPr>
        <w:t xml:space="preserve">ЕПЭУ</w:t>
      </w:r>
      <w:r>
        <w:rPr>
          <w:rFonts w:ascii="Times New Roman" w:hAnsi="Times New Roman" w:cs="Times New Roman"/>
          <w:sz w:val="29"/>
          <w:szCs w:val="29"/>
        </w:rPr>
        <w:t xml:space="preserve">) доступны к заказу новые административные процедуры МВД Республики Беларусь по линии гражданства и миграции. </w:t>
      </w:r>
      <w:r>
        <w:rPr>
          <w:rFonts w:ascii="Times New Roman" w:hAnsi="Times New Roman" w:cs="Times New Roman"/>
          <w:sz w:val="29"/>
          <w:szCs w:val="29"/>
        </w:rPr>
      </w:r>
    </w:p>
    <w:p>
      <w:pPr>
        <w:pStyle w:val="688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ab/>
        <w:t xml:space="preserve">Прием заявлений в электронной форме осуществляется по следующим административным процедурам.</w:t>
      </w:r>
      <w:r>
        <w:rPr>
          <w:rFonts w:ascii="Times New Roman" w:hAnsi="Times New Roman" w:cs="Times New Roman"/>
          <w:sz w:val="29"/>
          <w:szCs w:val="29"/>
        </w:rPr>
      </w:r>
    </w:p>
    <w:p>
      <w:pPr>
        <w:pStyle w:val="68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688"/>
        <w:jc w:val="both"/>
        <w:rPr>
          <w:rFonts w:ascii="Times New Roman" w:hAnsi="Times New Roman" w:cs="Times New Roman"/>
          <w:b/>
          <w:sz w:val="29"/>
          <w:szCs w:val="29"/>
        </w:rPr>
      </w:pPr>
      <w:r>
        <w:rPr>
          <w:rFonts w:ascii="Times New Roman" w:hAnsi="Times New Roman" w:cs="Times New Roman"/>
          <w:b/>
          <w:sz w:val="29"/>
          <w:szCs w:val="29"/>
        </w:rPr>
        <w:t xml:space="preserve">Для физических лиц (код услуги):</w:t>
      </w:r>
      <w:r>
        <w:rPr>
          <w:rFonts w:ascii="Times New Roman" w:hAnsi="Times New Roman" w:cs="Times New Roman"/>
          <w:b/>
          <w:sz w:val="29"/>
          <w:szCs w:val="29"/>
        </w:rPr>
      </w:r>
    </w:p>
    <w:p>
      <w:pPr>
        <w:pStyle w:val="688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ab/>
      </w:r>
      <w:r>
        <w:rPr>
          <w:rFonts w:ascii="Times New Roman" w:hAnsi="Times New Roman" w:cs="Times New Roman"/>
          <w:b/>
          <w:sz w:val="29"/>
          <w:szCs w:val="29"/>
        </w:rPr>
        <w:t xml:space="preserve">200.12.6</w:t>
      </w:r>
      <w:r>
        <w:rPr>
          <w:rFonts w:ascii="Times New Roman" w:hAnsi="Times New Roman" w:cs="Times New Roman"/>
          <w:sz w:val="29"/>
          <w:szCs w:val="29"/>
        </w:rPr>
        <w:t xml:space="preserve"> –  Выдача разрешения на временное проживание в Республике Беларусь иностранному гражданину или лицу без гражданства (</w:t>
      </w:r>
      <w:r>
        <w:rPr>
          <w:rFonts w:ascii="Times New Roman" w:hAnsi="Times New Roman" w:cs="Times New Roman"/>
          <w:b/>
          <w:sz w:val="29"/>
          <w:szCs w:val="29"/>
        </w:rPr>
        <w:t xml:space="preserve">пункт 12.6</w:t>
      </w:r>
      <w:r>
        <w:rPr>
          <w:rFonts w:ascii="Times New Roman" w:hAnsi="Times New Roman" w:cs="Times New Roman"/>
          <w:sz w:val="29"/>
          <w:szCs w:val="29"/>
        </w:rPr>
        <w:t xml:space="preserve"> 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26.04.2010 № 200, далее - Перечень);</w:t>
      </w:r>
      <w:r>
        <w:rPr>
          <w:rFonts w:ascii="Times New Roman" w:hAnsi="Times New Roman" w:cs="Times New Roman"/>
          <w:sz w:val="29"/>
          <w:szCs w:val="29"/>
        </w:rPr>
      </w:r>
    </w:p>
    <w:p>
      <w:pPr>
        <w:pStyle w:val="688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ab/>
      </w:r>
      <w:r>
        <w:rPr>
          <w:rFonts w:ascii="Times New Roman" w:hAnsi="Times New Roman" w:cs="Times New Roman"/>
          <w:b/>
          <w:sz w:val="29"/>
          <w:szCs w:val="29"/>
        </w:rPr>
        <w:t xml:space="preserve">200.12.6.1</w:t>
      </w:r>
      <w:r>
        <w:rPr>
          <w:rFonts w:ascii="Times New Roman" w:hAnsi="Times New Roman" w:cs="Times New Roman"/>
          <w:sz w:val="29"/>
          <w:szCs w:val="29"/>
        </w:rPr>
        <w:t xml:space="preserve"> –  Внесение изменений в марку «Дазвол на часовае пражыванне» (</w:t>
      </w:r>
      <w:r>
        <w:rPr>
          <w:rFonts w:ascii="Times New Roman" w:hAnsi="Times New Roman" w:cs="Times New Roman"/>
          <w:b/>
          <w:sz w:val="29"/>
          <w:szCs w:val="29"/>
        </w:rPr>
        <w:t xml:space="preserve">пункт 12.6-1 Перечня</w:t>
      </w:r>
      <w:r>
        <w:rPr>
          <w:rFonts w:ascii="Times New Roman" w:hAnsi="Times New Roman" w:cs="Times New Roman"/>
          <w:sz w:val="29"/>
          <w:szCs w:val="29"/>
        </w:rPr>
        <w:t xml:space="preserve">);</w:t>
      </w:r>
      <w:r>
        <w:rPr>
          <w:rFonts w:ascii="Times New Roman" w:hAnsi="Times New Roman" w:cs="Times New Roman"/>
          <w:sz w:val="29"/>
          <w:szCs w:val="29"/>
        </w:rPr>
      </w:r>
    </w:p>
    <w:p>
      <w:pPr>
        <w:pStyle w:val="688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ab/>
      </w:r>
      <w:r>
        <w:rPr>
          <w:rFonts w:ascii="Times New Roman" w:hAnsi="Times New Roman" w:cs="Times New Roman"/>
          <w:b/>
          <w:sz w:val="29"/>
          <w:szCs w:val="29"/>
        </w:rPr>
        <w:t xml:space="preserve">200.12.12.1</w:t>
      </w:r>
      <w:r>
        <w:rPr>
          <w:rFonts w:ascii="Times New Roman" w:hAnsi="Times New Roman" w:cs="Times New Roman"/>
          <w:sz w:val="29"/>
          <w:szCs w:val="29"/>
        </w:rPr>
        <w:t xml:space="preserve"> –  Выдача гражданину Республики Беларусь и иностранному гражданину или лицу без гражданства, постоянно проживающим в Республике Беларусь, документа об однократном приглашении иностранного гражданина или лица без гражданства в Республику Беларусь (</w:t>
      </w:r>
      <w:r>
        <w:rPr>
          <w:rFonts w:ascii="Times New Roman" w:hAnsi="Times New Roman" w:cs="Times New Roman"/>
          <w:b/>
          <w:sz w:val="29"/>
          <w:szCs w:val="29"/>
        </w:rPr>
        <w:t xml:space="preserve">подпункт 12.12.1 пункта 12.12 Перечня</w:t>
      </w:r>
      <w:r>
        <w:rPr>
          <w:rFonts w:ascii="Times New Roman" w:hAnsi="Times New Roman" w:cs="Times New Roman"/>
          <w:sz w:val="29"/>
          <w:szCs w:val="29"/>
        </w:rPr>
        <w:t xml:space="preserve">);</w:t>
      </w:r>
      <w:r>
        <w:rPr>
          <w:rFonts w:ascii="Times New Roman" w:hAnsi="Times New Roman" w:cs="Times New Roman"/>
          <w:sz w:val="29"/>
          <w:szCs w:val="29"/>
        </w:rPr>
      </w:r>
    </w:p>
    <w:p>
      <w:pPr>
        <w:pStyle w:val="688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ab/>
      </w:r>
      <w:r>
        <w:rPr>
          <w:rFonts w:ascii="Times New Roman" w:hAnsi="Times New Roman" w:cs="Times New Roman"/>
          <w:b/>
          <w:sz w:val="29"/>
          <w:szCs w:val="29"/>
        </w:rPr>
        <w:t xml:space="preserve">200.12.15.1</w:t>
      </w:r>
      <w:r>
        <w:rPr>
          <w:rFonts w:ascii="Times New Roman" w:hAnsi="Times New Roman" w:cs="Times New Roman"/>
          <w:sz w:val="29"/>
          <w:szCs w:val="29"/>
        </w:rPr>
        <w:t xml:space="preserve"> – Продление срока временного пребывания (регистрации) в Республике Беларусь иностранного гражданина или лица без гражданства (</w:t>
      </w:r>
      <w:r>
        <w:rPr>
          <w:rFonts w:ascii="Times New Roman" w:hAnsi="Times New Roman" w:cs="Times New Roman"/>
          <w:b/>
          <w:sz w:val="29"/>
          <w:szCs w:val="29"/>
        </w:rPr>
        <w:t xml:space="preserve">подпункт 12.15.1 пункта 12.15 Перечня</w:t>
      </w:r>
      <w:r>
        <w:rPr>
          <w:rFonts w:ascii="Times New Roman" w:hAnsi="Times New Roman" w:cs="Times New Roman"/>
          <w:sz w:val="29"/>
          <w:szCs w:val="29"/>
        </w:rPr>
        <w:t xml:space="preserve">).</w:t>
      </w:r>
      <w:r>
        <w:rPr>
          <w:rFonts w:ascii="Times New Roman" w:hAnsi="Times New Roman" w:cs="Times New Roman"/>
          <w:sz w:val="29"/>
          <w:szCs w:val="29"/>
        </w:rPr>
      </w:r>
    </w:p>
    <w:p>
      <w:pPr>
        <w:pStyle w:val="688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</w:r>
      <w:r>
        <w:rPr>
          <w:rFonts w:ascii="Times New Roman" w:hAnsi="Times New Roman" w:cs="Times New Roman"/>
          <w:sz w:val="29"/>
          <w:szCs w:val="29"/>
        </w:rPr>
      </w:r>
    </w:p>
    <w:p>
      <w:pPr>
        <w:pStyle w:val="688"/>
        <w:jc w:val="both"/>
        <w:rPr>
          <w:rFonts w:ascii="Times New Roman" w:hAnsi="Times New Roman" w:cs="Times New Roman"/>
          <w:b/>
          <w:sz w:val="29"/>
          <w:szCs w:val="29"/>
        </w:rPr>
      </w:pPr>
      <w:r>
        <w:rPr>
          <w:rFonts w:ascii="Times New Roman" w:hAnsi="Times New Roman" w:cs="Times New Roman"/>
          <w:b/>
          <w:sz w:val="29"/>
          <w:szCs w:val="29"/>
        </w:rPr>
        <w:t xml:space="preserve">Для юридических лиц (код услуги):</w:t>
      </w:r>
      <w:r>
        <w:rPr>
          <w:rFonts w:ascii="Times New Roman" w:hAnsi="Times New Roman" w:cs="Times New Roman"/>
          <w:b/>
          <w:sz w:val="29"/>
          <w:szCs w:val="29"/>
        </w:rPr>
      </w:r>
    </w:p>
    <w:p>
      <w:pPr>
        <w:pStyle w:val="688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ab/>
      </w:r>
      <w:r>
        <w:rPr>
          <w:rFonts w:ascii="Times New Roman" w:hAnsi="Times New Roman" w:cs="Times New Roman"/>
          <w:b/>
          <w:sz w:val="29"/>
          <w:szCs w:val="29"/>
        </w:rPr>
        <w:t xml:space="preserve">548.10.7.1 </w:t>
      </w:r>
      <w:r>
        <w:rPr>
          <w:rFonts w:ascii="Times New Roman" w:hAnsi="Times New Roman" w:cs="Times New Roman"/>
          <w:sz w:val="29"/>
          <w:szCs w:val="29"/>
        </w:rPr>
        <w:t xml:space="preserve">– Согласование приглашения иностранного гражданина или лица без гражданства на обучение (</w:t>
      </w:r>
      <w:r>
        <w:rPr>
          <w:rFonts w:ascii="Times New Roman" w:hAnsi="Times New Roman" w:cs="Times New Roman"/>
          <w:b/>
          <w:sz w:val="29"/>
          <w:szCs w:val="29"/>
        </w:rPr>
        <w:t xml:space="preserve">подпункт 10.7.1.пункта 10.7</w:t>
      </w:r>
      <w:r>
        <w:rPr>
          <w:rFonts w:ascii="Times New Roman" w:hAnsi="Times New Roman" w:cs="Times New Roman"/>
          <w:sz w:val="29"/>
          <w:szCs w:val="29"/>
        </w:rPr>
        <w:t xml:space="preserve"> </w:t>
      </w:r>
      <w:r>
        <w:rPr>
          <w:rFonts w:ascii="Times New Roman" w:hAnsi="Times New Roman" w:cs="Times New Roman"/>
          <w:b/>
          <w:sz w:val="29"/>
          <w:szCs w:val="29"/>
        </w:rPr>
        <w:t xml:space="preserve">единого перечня</w:t>
      </w:r>
      <w:r>
        <w:rPr>
          <w:rFonts w:ascii="Times New Roman" w:hAnsi="Times New Roman" w:cs="Times New Roman"/>
          <w:sz w:val="29"/>
          <w:szCs w:val="29"/>
        </w:rPr>
        <w:t xml:space="preserve"> административных процедур, осуществляемых в отношении субъектов хозяйствования, утвержденного постановлением Совета Министров Республики Беларусь 24.09.2021 № 548, далее – Единый перечень);</w:t>
      </w:r>
      <w:r>
        <w:rPr>
          <w:rFonts w:ascii="Times New Roman" w:hAnsi="Times New Roman" w:cs="Times New Roman"/>
          <w:sz w:val="29"/>
          <w:szCs w:val="29"/>
        </w:rPr>
      </w:r>
    </w:p>
    <w:p>
      <w:pPr>
        <w:pStyle w:val="688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ab/>
      </w:r>
      <w:r>
        <w:rPr>
          <w:rFonts w:ascii="Times New Roman" w:hAnsi="Times New Roman" w:cs="Times New Roman"/>
          <w:b/>
          <w:sz w:val="29"/>
          <w:szCs w:val="29"/>
        </w:rPr>
        <w:t xml:space="preserve">548.15.4.1</w:t>
      </w:r>
      <w:r>
        <w:rPr>
          <w:rFonts w:ascii="Times New Roman" w:hAnsi="Times New Roman" w:cs="Times New Roman"/>
          <w:sz w:val="29"/>
          <w:szCs w:val="29"/>
        </w:rPr>
        <w:t xml:space="preserve"> – Получение специального разрешения на право занятия трудовой деятельностью в республике Беларусь (</w:t>
      </w:r>
      <w:r>
        <w:rPr>
          <w:rFonts w:ascii="Times New Roman" w:hAnsi="Times New Roman" w:cs="Times New Roman"/>
          <w:b/>
          <w:sz w:val="29"/>
          <w:szCs w:val="29"/>
        </w:rPr>
        <w:t xml:space="preserve">подпункт 15.4.1 пункта 15.4 Единого перечня</w:t>
      </w:r>
      <w:r>
        <w:rPr>
          <w:rFonts w:ascii="Times New Roman" w:hAnsi="Times New Roman" w:cs="Times New Roman"/>
          <w:sz w:val="29"/>
          <w:szCs w:val="29"/>
        </w:rPr>
        <w:t xml:space="preserve">).</w:t>
      </w:r>
      <w:r>
        <w:rPr>
          <w:rFonts w:ascii="Times New Roman" w:hAnsi="Times New Roman" w:cs="Times New Roman"/>
          <w:sz w:val="29"/>
          <w:szCs w:val="29"/>
        </w:rPr>
      </w:r>
    </w:p>
    <w:p>
      <w:pPr>
        <w:pStyle w:val="68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688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ab/>
        <w:t xml:space="preserve">Осуществление административных процедур в электронной форме предполагает предоставление заявителю возможности подачи (отзыва заявления) посредством ЕПЭУ; получения административного решения (уведомления об административном решении) в личном кабинете ЕПЭУ.</w:t>
      </w:r>
      <w:r>
        <w:rPr>
          <w:rFonts w:ascii="Times New Roman" w:hAnsi="Times New Roman" w:cs="Times New Roman"/>
          <w:sz w:val="29"/>
          <w:szCs w:val="29"/>
        </w:rPr>
      </w:r>
    </w:p>
    <w:p>
      <w:pPr>
        <w:pStyle w:val="688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ab/>
        <w:t xml:space="preserve">Электронное заявление рассматривается  в том же порядке, что и заявление в </w:t>
      </w:r>
      <w:r>
        <w:rPr>
          <w:rFonts w:ascii="Times New Roman" w:hAnsi="Times New Roman" w:cs="Times New Roman"/>
          <w:b/>
          <w:sz w:val="29"/>
          <w:szCs w:val="29"/>
        </w:rPr>
        <w:t xml:space="preserve">письменной форме</w:t>
      </w:r>
      <w:r>
        <w:rPr>
          <w:rFonts w:ascii="Times New Roman" w:hAnsi="Times New Roman" w:cs="Times New Roman"/>
          <w:sz w:val="29"/>
          <w:szCs w:val="29"/>
        </w:rPr>
        <w:t xml:space="preserve">. После выполнения административной процедуры в личном кабинете отобразится решение по результатам оказания административной процедуры.</w:t>
      </w:r>
      <w:r>
        <w:rPr>
          <w:rFonts w:ascii="Times New Roman" w:hAnsi="Times New Roman" w:cs="Times New Roman"/>
          <w:sz w:val="29"/>
          <w:szCs w:val="29"/>
        </w:rPr>
      </w:r>
    </w:p>
    <w:p>
      <w:pPr>
        <w:pStyle w:val="688"/>
        <w:jc w:val="both"/>
        <w:rPr>
          <w:rFonts w:ascii="Times New Roman" w:hAnsi="Times New Roman" w:cs="Times New Roman"/>
          <w:sz w:val="29"/>
          <w:szCs w:val="29"/>
          <w:lang w:val="en-US"/>
        </w:rPr>
      </w:pPr>
      <w:r>
        <w:rPr>
          <w:rFonts w:ascii="Times New Roman" w:hAnsi="Times New Roman" w:cs="Times New Roman"/>
          <w:sz w:val="29"/>
          <w:szCs w:val="29"/>
        </w:rPr>
        <w:tab/>
        <w:t xml:space="preserve">Подробные инструкции по доступу к личным электронным кабинетам – на сайте НЦЭУ (Национальный центр электронных услуг): </w:t>
      </w:r>
      <w:r>
        <w:rPr>
          <w:rFonts w:ascii="Times New Roman" w:hAnsi="Times New Roman" w:cs="Times New Roman"/>
          <w:b/>
          <w:sz w:val="29"/>
          <w:szCs w:val="29"/>
          <w:lang w:val="en-US"/>
        </w:rPr>
        <w:t xml:space="preserve">portal</w:t>
      </w:r>
      <w:r>
        <w:rPr>
          <w:rFonts w:ascii="Times New Roman" w:hAnsi="Times New Roman" w:cs="Times New Roman"/>
          <w:b/>
          <w:sz w:val="29"/>
          <w:szCs w:val="29"/>
        </w:rPr>
        <w:t xml:space="preserve">.</w:t>
      </w:r>
      <w:r>
        <w:rPr>
          <w:rFonts w:ascii="Times New Roman" w:hAnsi="Times New Roman" w:cs="Times New Roman"/>
          <w:b/>
          <w:sz w:val="29"/>
          <w:szCs w:val="29"/>
          <w:lang w:val="en-US"/>
        </w:rPr>
        <w:t xml:space="preserve">gov</w:t>
      </w:r>
      <w:r>
        <w:rPr>
          <w:rFonts w:ascii="Times New Roman" w:hAnsi="Times New Roman" w:cs="Times New Roman"/>
          <w:b/>
          <w:sz w:val="29"/>
          <w:szCs w:val="29"/>
        </w:rPr>
        <w:t xml:space="preserve">.</w:t>
      </w:r>
      <w:r>
        <w:rPr>
          <w:rFonts w:ascii="Times New Roman" w:hAnsi="Times New Roman" w:cs="Times New Roman"/>
          <w:b/>
          <w:sz w:val="29"/>
          <w:szCs w:val="29"/>
          <w:lang w:val="en-US"/>
        </w:rPr>
        <w:t xml:space="preserve">by</w:t>
      </w:r>
      <w:r>
        <w:rPr>
          <w:rFonts w:ascii="Times New Roman" w:hAnsi="Times New Roman" w:cs="Times New Roman"/>
          <w:b/>
          <w:sz w:val="29"/>
          <w:szCs w:val="29"/>
        </w:rPr>
        <w:t xml:space="preserve"> </w:t>
      </w:r>
      <w:r>
        <w:rPr>
          <w:rFonts w:ascii="Times New Roman" w:hAnsi="Times New Roman" w:cs="Times New Roman"/>
          <w:sz w:val="29"/>
          <w:szCs w:val="29"/>
        </w:rPr>
        <w:t xml:space="preserve">или</w:t>
      </w:r>
      <w:r>
        <w:rPr>
          <w:rFonts w:ascii="Times New Roman" w:hAnsi="Times New Roman" w:cs="Times New Roman"/>
          <w:b/>
          <w:sz w:val="29"/>
          <w:szCs w:val="29"/>
        </w:rPr>
        <w:t xml:space="preserve"> </w:t>
      </w:r>
      <w:r>
        <w:rPr>
          <w:rFonts w:ascii="Times New Roman" w:hAnsi="Times New Roman" w:cs="Times New Roman"/>
          <w:sz w:val="29"/>
          <w:szCs w:val="29"/>
        </w:rPr>
        <w:t xml:space="preserve">(Е-Паслуга).</w:t>
      </w:r>
      <w:r>
        <w:rPr>
          <w:rFonts w:ascii="Times New Roman" w:hAnsi="Times New Roman" w:cs="Times New Roman"/>
          <w:sz w:val="29"/>
          <w:szCs w:val="29"/>
          <w:lang w:val="en-US"/>
        </w:rPr>
      </w:r>
    </w:p>
    <w:p>
      <w:pPr>
        <w:pStyle w:val="688"/>
        <w:jc w:val="both"/>
        <w:rPr>
          <w:rFonts w:ascii="Times New Roman" w:hAnsi="Times New Roman" w:cs="Times New Roman"/>
          <w:sz w:val="29"/>
          <w:szCs w:val="29"/>
          <w:lang w:val="en-US"/>
        </w:rPr>
      </w:pPr>
      <w:r>
        <w:rPr>
          <w:rFonts w:ascii="Times New Roman" w:hAnsi="Times New Roman" w:cs="Times New Roman"/>
          <w:sz w:val="29"/>
          <w:szCs w:val="29"/>
          <w:lang w:val="en-US"/>
        </w:rPr>
      </w:r>
      <w:r>
        <w:rPr>
          <w:rFonts w:ascii="Times New Roman" w:hAnsi="Times New Roman" w:cs="Times New Roman"/>
          <w:sz w:val="29"/>
          <w:szCs w:val="29"/>
          <w:lang w:val="en-US"/>
        </w:rPr>
      </w:r>
    </w:p>
    <w:p>
      <w:pPr>
        <w:pStyle w:val="688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Начальник ОГиМ </w:t>
      </w:r>
      <w:r>
        <w:rPr>
          <w:rFonts w:ascii="Times New Roman" w:hAnsi="Times New Roman" w:cs="Times New Roman"/>
          <w:sz w:val="29"/>
          <w:szCs w:val="29"/>
        </w:rPr>
      </w:r>
    </w:p>
    <w:p>
      <w:pPr>
        <w:pStyle w:val="688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Островецкого РОВД                                                               П.Р.Базюк</w:t>
      </w:r>
      <w:r>
        <w:rPr>
          <w:rFonts w:ascii="Times New Roman" w:hAnsi="Times New Roman" w:cs="Times New Roman"/>
          <w:sz w:val="29"/>
          <w:szCs w:val="29"/>
        </w:rPr>
      </w:r>
    </w:p>
    <w:sectPr>
      <w:headerReference w:type="default" r:id="rId8"/>
      <w:footnotePr/>
      <w:endnotePr/>
      <w:type w:val="nextPage"/>
      <w:pgSz w:w="11906" w:h="16838" w:orient="portrait"/>
      <w:pgMar w:top="426" w:right="567" w:bottom="0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ahoma">
    <w:panose1 w:val="020B06040305040402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858120803"/>
      <w:docPartObj>
        <w:docPartGallery w:val="Page Numbers (Top of Page)"/>
        <w:docPartUnique w:val="true"/>
      </w:docPartObj>
      <w:rPr/>
    </w:sdtPr>
    <w:sdtContent>
      <w:p>
        <w:pPr>
          <w:pStyle w:val="680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68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76"/>
    <w:next w:val="676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77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76"/>
    <w:next w:val="676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77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76"/>
    <w:next w:val="676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77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76"/>
    <w:next w:val="676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77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76"/>
    <w:next w:val="676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77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76"/>
    <w:next w:val="676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77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76"/>
    <w:next w:val="676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77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76"/>
    <w:next w:val="676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77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76"/>
    <w:next w:val="676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77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76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76"/>
    <w:next w:val="676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77"/>
    <w:link w:val="35"/>
    <w:uiPriority w:val="10"/>
    <w:rPr>
      <w:sz w:val="48"/>
      <w:szCs w:val="48"/>
    </w:rPr>
  </w:style>
  <w:style w:type="paragraph" w:styleId="37">
    <w:name w:val="Subtitle"/>
    <w:basedOn w:val="676"/>
    <w:next w:val="676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77"/>
    <w:link w:val="37"/>
    <w:uiPriority w:val="11"/>
    <w:rPr>
      <w:sz w:val="24"/>
      <w:szCs w:val="24"/>
    </w:rPr>
  </w:style>
  <w:style w:type="paragraph" w:styleId="39">
    <w:name w:val="Quote"/>
    <w:basedOn w:val="676"/>
    <w:next w:val="676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76"/>
    <w:next w:val="676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677"/>
    <w:link w:val="680"/>
    <w:uiPriority w:val="99"/>
  </w:style>
  <w:style w:type="character" w:styleId="46">
    <w:name w:val="Footer Char"/>
    <w:basedOn w:val="677"/>
    <w:link w:val="682"/>
    <w:uiPriority w:val="99"/>
  </w:style>
  <w:style w:type="paragraph" w:styleId="47">
    <w:name w:val="Caption"/>
    <w:basedOn w:val="676"/>
    <w:next w:val="676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77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76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77"/>
    <w:uiPriority w:val="99"/>
    <w:unhideWhenUsed/>
    <w:rPr>
      <w:vertAlign w:val="superscript"/>
    </w:rPr>
  </w:style>
  <w:style w:type="paragraph" w:styleId="179">
    <w:name w:val="endnote text"/>
    <w:basedOn w:val="676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77"/>
    <w:uiPriority w:val="99"/>
    <w:semiHidden/>
    <w:unhideWhenUsed/>
    <w:rPr>
      <w:vertAlign w:val="superscript"/>
    </w:rPr>
  </w:style>
  <w:style w:type="paragraph" w:styleId="182">
    <w:name w:val="toc 1"/>
    <w:basedOn w:val="676"/>
    <w:next w:val="676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76"/>
    <w:next w:val="676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76"/>
    <w:next w:val="676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76"/>
    <w:next w:val="676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76"/>
    <w:next w:val="676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76"/>
    <w:next w:val="676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76"/>
    <w:next w:val="676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76"/>
    <w:next w:val="676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76"/>
    <w:next w:val="676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76"/>
    <w:next w:val="676"/>
    <w:uiPriority w:val="99"/>
    <w:unhideWhenUsed/>
    <w:pPr>
      <w:spacing w:after="0" w:afterAutospacing="0"/>
    </w:pPr>
  </w:style>
  <w:style w:type="paragraph" w:styleId="676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677" w:default="1">
    <w:name w:val="Default Paragraph Font"/>
    <w:uiPriority w:val="1"/>
    <w:semiHidden/>
    <w:unhideWhenUsed/>
  </w:style>
  <w:style w:type="table" w:styleId="67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9" w:default="1">
    <w:name w:val="No List"/>
    <w:uiPriority w:val="99"/>
    <w:semiHidden/>
    <w:unhideWhenUsed/>
  </w:style>
  <w:style w:type="paragraph" w:styleId="680">
    <w:name w:val="Header"/>
    <w:basedOn w:val="676"/>
    <w:link w:val="68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81" w:customStyle="1">
    <w:name w:val="Верхний колонтитул Знак"/>
    <w:basedOn w:val="677"/>
    <w:link w:val="680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82">
    <w:name w:val="Footer"/>
    <w:basedOn w:val="676"/>
    <w:link w:val="68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83" w:customStyle="1">
    <w:name w:val="Нижний колонтитул Знак"/>
    <w:basedOn w:val="677"/>
    <w:link w:val="682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684">
    <w:name w:val="Table Grid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85" w:customStyle="1">
    <w:name w:val="Основной текст2"/>
    <w:basedOn w:val="676"/>
    <w:pPr>
      <w:jc w:val="both"/>
      <w:spacing w:before="300" w:line="0" w:lineRule="atLeast"/>
      <w:shd w:val="clear" w:color="auto" w:fill="ffffff"/>
      <w:widowControl w:val="off"/>
    </w:pPr>
    <w:rPr>
      <w:sz w:val="29"/>
      <w:szCs w:val="29"/>
    </w:rPr>
  </w:style>
  <w:style w:type="paragraph" w:styleId="686">
    <w:name w:val="Balloon Text"/>
    <w:basedOn w:val="676"/>
    <w:link w:val="687"/>
    <w:uiPriority w:val="99"/>
    <w:semiHidden/>
    <w:unhideWhenUsed/>
    <w:rPr>
      <w:rFonts w:ascii="Tahoma" w:hAnsi="Tahoma" w:cs="Tahoma"/>
      <w:sz w:val="16"/>
      <w:szCs w:val="16"/>
    </w:rPr>
  </w:style>
  <w:style w:type="character" w:styleId="687" w:customStyle="1">
    <w:name w:val="Текст выноски Знак"/>
    <w:basedOn w:val="677"/>
    <w:link w:val="686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688" w:customStyle="1">
    <w:name w:val="ConsPlusNormal"/>
    <w:pPr>
      <w:spacing w:after="0" w:line="240" w:lineRule="auto"/>
      <w:widowControl w:val="off"/>
    </w:pPr>
    <w:rPr>
      <w:rFonts w:ascii="Arial" w:hAnsi="Arial" w:cs="Arial" w:eastAsiaTheme="minorEastAsia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>Krokoz™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Сиверин Владимир</dc:creator>
  <cp:lastModifiedBy>Лариса Александровна Малышко</cp:lastModifiedBy>
  <cp:revision>5</cp:revision>
  <dcterms:created xsi:type="dcterms:W3CDTF">2025-12-11T09:22:00Z</dcterms:created>
  <dcterms:modified xsi:type="dcterms:W3CDTF">2026-01-09T05:28:13Z</dcterms:modified>
</cp:coreProperties>
</file>